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7.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2021-10-20 13:13:25</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by area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range, with some exceptions for total nitrogen and chl-a in area 3 in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July frequency occurrence of 27.3%). A similar decline in coverage of shoal grass was also observed in area 3 (April frequency occurrence of 44%, July frequency occurrence of 16.7%). Frequency occurrence of manatee grass (</w:t>
      </w:r>
      <w:r>
        <w:rPr>
          <w:iCs/>
          <w:i/>
        </w:rPr>
        <w:t xml:space="preserve">S. syringodium</w:t>
      </w:r>
      <w:r>
        <w:t xml:space="preserve">) also declined slightly from April to July in area 3 (April frequency occurrence of 35.7%, July frequency occurrence of 16.7%).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7</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7</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C:/proj/piney-point-manu/figs/wqgamtrnds.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6: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7264400"/>
            <wp:effectExtent b="0" l="0" r="0" t="0"/>
            <wp:docPr descr="Figure 7: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9: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7"/>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9: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3" Target="media/rId73.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2021-10-20T17:13:33Z</dcterms:created>
  <dcterms:modified xsi:type="dcterms:W3CDTF">2021-10-20T17:13:33Z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